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20" w:rsidRDefault="00933620" w:rsidP="00933620">
      <w:pPr>
        <w:jc w:val="center"/>
        <w:rPr>
          <w:rFonts w:ascii="Arial" w:hAnsi="Arial" w:cs="Arial"/>
          <w:b/>
          <w:bCs/>
          <w:sz w:val="44"/>
          <w:szCs w:val="44"/>
        </w:rPr>
      </w:pPr>
      <w:r>
        <w:rPr>
          <w:rFonts w:ascii="Arial" w:hAnsi="Arial" w:cs="Arial"/>
          <w:b/>
          <w:bCs/>
          <w:sz w:val="44"/>
          <w:szCs w:val="44"/>
        </w:rPr>
        <w:t>AUCHAN ENGLOS</w:t>
      </w:r>
    </w:p>
    <w:p w:rsidR="00EA03C8" w:rsidRDefault="00EA03C8"/>
    <w:p w:rsidR="00933620" w:rsidRDefault="00933620"/>
    <w:p w:rsidR="00933620" w:rsidRDefault="00933620" w:rsidP="00933620">
      <w:pPr>
        <w:pBdr>
          <w:top w:val="single" w:sz="4" w:space="1" w:color="auto"/>
          <w:left w:val="single" w:sz="4" w:space="4" w:color="auto"/>
          <w:bottom w:val="single" w:sz="4" w:space="1" w:color="auto"/>
          <w:right w:val="single" w:sz="4" w:space="4" w:color="auto"/>
        </w:pBdr>
        <w:jc w:val="center"/>
        <w:rPr>
          <w:rFonts w:ascii="Arial" w:hAnsi="Arial" w:cs="Arial"/>
          <w:b/>
          <w:bCs/>
          <w:sz w:val="24"/>
          <w:szCs w:val="24"/>
          <w:bdr w:val="single" w:sz="4" w:space="0" w:color="auto"/>
        </w:rPr>
      </w:pPr>
      <w:r>
        <w:rPr>
          <w:rFonts w:ascii="Arial" w:hAnsi="Arial" w:cs="Arial"/>
          <w:b/>
          <w:bCs/>
          <w:sz w:val="24"/>
          <w:szCs w:val="24"/>
        </w:rPr>
        <w:t>DOSSIER 2 : L’action promotionnelle (annexes 8 à 12)</w:t>
      </w:r>
    </w:p>
    <w:p w:rsidR="00933620" w:rsidRDefault="00933620" w:rsidP="00933620">
      <w:pPr>
        <w:rPr>
          <w:rFonts w:ascii="Arial" w:hAnsi="Arial" w:cs="Arial"/>
        </w:rPr>
      </w:pPr>
    </w:p>
    <w:p w:rsidR="00933620" w:rsidRDefault="00933620" w:rsidP="00933620">
      <w:pPr>
        <w:jc w:val="both"/>
        <w:rPr>
          <w:rFonts w:ascii="Arial" w:hAnsi="Arial" w:cs="Arial"/>
          <w:sz w:val="24"/>
          <w:szCs w:val="24"/>
        </w:rPr>
      </w:pPr>
      <w:r>
        <w:rPr>
          <w:rFonts w:ascii="Arial" w:hAnsi="Arial" w:cs="Arial"/>
          <w:sz w:val="24"/>
          <w:szCs w:val="24"/>
        </w:rPr>
        <w:t>Monsieur BERNARD vous confie la responsabilité de l’action promotionnelle « 15 jours soleil au jardin ». Cette quinzaine commerciale débute le 1er avril et concerne les premières plantations, les plantes d’intérieur, les fleurs coupées et également tous les produits d’entretien et de décoration du jardin.</w:t>
      </w:r>
    </w:p>
    <w:p w:rsidR="00933620" w:rsidRDefault="00933620" w:rsidP="00933620">
      <w:pPr>
        <w:jc w:val="both"/>
        <w:rPr>
          <w:rFonts w:ascii="Arial" w:hAnsi="Arial" w:cs="Arial"/>
          <w:sz w:val="24"/>
          <w:szCs w:val="24"/>
        </w:rPr>
      </w:pPr>
      <w:r>
        <w:rPr>
          <w:rFonts w:ascii="Arial" w:hAnsi="Arial" w:cs="Arial"/>
          <w:sz w:val="24"/>
          <w:szCs w:val="24"/>
        </w:rPr>
        <w:t>Cette action se déroulera sur 15 jours sous un chapiteau placé sur le parking proche de l’entrée principale du magasin.</w:t>
      </w:r>
    </w:p>
    <w:p w:rsidR="00933620" w:rsidRDefault="00933620" w:rsidP="00933620">
      <w:pPr>
        <w:jc w:val="both"/>
        <w:rPr>
          <w:rFonts w:ascii="Arial" w:hAnsi="Arial" w:cs="Arial"/>
          <w:sz w:val="24"/>
          <w:szCs w:val="24"/>
        </w:rPr>
      </w:pPr>
    </w:p>
    <w:p w:rsidR="00933620" w:rsidRDefault="00933620"/>
    <w:p w:rsidR="00933620" w:rsidRPr="00933620" w:rsidRDefault="00933620" w:rsidP="00933620">
      <w:pPr>
        <w:jc w:val="both"/>
        <w:rPr>
          <w:rFonts w:ascii="Arial" w:hAnsi="Arial" w:cs="Arial"/>
          <w:b/>
          <w:sz w:val="24"/>
          <w:szCs w:val="24"/>
        </w:rPr>
      </w:pPr>
      <w:r w:rsidRPr="00933620">
        <w:rPr>
          <w:rFonts w:ascii="Arial" w:hAnsi="Arial" w:cs="Arial"/>
          <w:b/>
          <w:sz w:val="24"/>
          <w:szCs w:val="24"/>
        </w:rPr>
        <w:t>1</w:t>
      </w:r>
      <w:r w:rsidRPr="00933620">
        <w:rPr>
          <w:rFonts w:ascii="Arial" w:hAnsi="Arial" w:cs="Arial"/>
          <w:b/>
          <w:sz w:val="24"/>
          <w:szCs w:val="24"/>
        </w:rPr>
        <w:t>. Calculez le chiffre d’affaires à réaliser pour équilibrer l’opération.</w:t>
      </w:r>
    </w:p>
    <w:p w:rsidR="00933620" w:rsidRDefault="00933620"/>
    <w:p w:rsidR="00933620" w:rsidRDefault="00933620"/>
    <w:p w:rsidR="00933620" w:rsidRDefault="00933620" w:rsidP="00933620">
      <w:pPr>
        <w:rPr>
          <w:rFonts w:ascii="Arial" w:hAnsi="Arial" w:cs="Arial"/>
          <w:sz w:val="24"/>
          <w:szCs w:val="24"/>
        </w:rPr>
      </w:pPr>
      <w:bookmarkStart w:id="0" w:name="_GoBack"/>
      <w:bookmarkEnd w:id="0"/>
    </w:p>
    <w:p w:rsidR="00933620" w:rsidRDefault="00933620" w:rsidP="00933620">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r>
        <w:rPr>
          <w:rFonts w:ascii="Arial" w:hAnsi="Arial" w:cs="Arial"/>
          <w:b/>
          <w:bCs/>
          <w:sz w:val="24"/>
          <w:szCs w:val="24"/>
        </w:rPr>
        <w:t>Annexe 11 : Données de gestion</w:t>
      </w:r>
    </w:p>
    <w:p w:rsidR="00933620" w:rsidRDefault="00933620" w:rsidP="00933620">
      <w:pPr>
        <w:jc w:val="both"/>
        <w:rPr>
          <w:rFonts w:ascii="Arial" w:hAnsi="Arial" w:cs="Arial"/>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520"/>
      </w:tblGrid>
      <w:tr w:rsidR="00933620" w:rsidTr="000806C9">
        <w:trPr>
          <w:trHeight w:val="302"/>
        </w:trPr>
        <w:tc>
          <w:tcPr>
            <w:tcW w:w="6660" w:type="dxa"/>
            <w:tcBorders>
              <w:bottom w:val="single" w:sz="4" w:space="0" w:color="auto"/>
            </w:tcBorders>
          </w:tcPr>
          <w:p w:rsidR="00933620" w:rsidRDefault="00933620" w:rsidP="000806C9">
            <w:pPr>
              <w:jc w:val="center"/>
              <w:rPr>
                <w:rFonts w:ascii="Arial" w:hAnsi="Arial" w:cs="Arial"/>
                <w:b/>
                <w:bCs/>
                <w:sz w:val="24"/>
                <w:szCs w:val="24"/>
              </w:rPr>
            </w:pPr>
            <w:r>
              <w:rPr>
                <w:rFonts w:ascii="Arial" w:hAnsi="Arial" w:cs="Arial"/>
                <w:b/>
                <w:bCs/>
                <w:sz w:val="24"/>
                <w:szCs w:val="24"/>
              </w:rPr>
              <w:t>Charges fixes</w:t>
            </w:r>
          </w:p>
        </w:tc>
        <w:tc>
          <w:tcPr>
            <w:tcW w:w="2520" w:type="dxa"/>
            <w:tcBorders>
              <w:bottom w:val="single" w:sz="4" w:space="0" w:color="auto"/>
            </w:tcBorders>
          </w:tcPr>
          <w:p w:rsidR="00933620" w:rsidRDefault="00933620" w:rsidP="000806C9">
            <w:pPr>
              <w:jc w:val="center"/>
              <w:rPr>
                <w:rFonts w:ascii="Arial" w:hAnsi="Arial" w:cs="Arial"/>
                <w:b/>
                <w:bCs/>
                <w:sz w:val="24"/>
                <w:szCs w:val="24"/>
              </w:rPr>
            </w:pPr>
            <w:r>
              <w:rPr>
                <w:rFonts w:ascii="Arial" w:hAnsi="Arial" w:cs="Arial"/>
                <w:b/>
                <w:bCs/>
                <w:sz w:val="24"/>
                <w:szCs w:val="24"/>
              </w:rPr>
              <w:t>Montant en euros</w:t>
            </w:r>
          </w:p>
        </w:tc>
      </w:tr>
      <w:tr w:rsidR="00933620" w:rsidTr="000806C9">
        <w:trPr>
          <w:trHeight w:val="312"/>
        </w:trPr>
        <w:tc>
          <w:tcPr>
            <w:tcW w:w="6660" w:type="dxa"/>
          </w:tcPr>
          <w:p w:rsidR="00933620" w:rsidRDefault="00933620" w:rsidP="000806C9">
            <w:pPr>
              <w:jc w:val="both"/>
              <w:rPr>
                <w:rFonts w:ascii="Arial" w:hAnsi="Arial" w:cs="Arial"/>
                <w:sz w:val="24"/>
                <w:szCs w:val="24"/>
              </w:rPr>
            </w:pPr>
            <w:r>
              <w:rPr>
                <w:rFonts w:ascii="Arial" w:hAnsi="Arial" w:cs="Arial"/>
                <w:sz w:val="24"/>
                <w:szCs w:val="24"/>
              </w:rPr>
              <w:t>Location du chapiteau de 150 m²</w:t>
            </w:r>
          </w:p>
        </w:tc>
        <w:tc>
          <w:tcPr>
            <w:tcW w:w="2520" w:type="dxa"/>
          </w:tcPr>
          <w:p w:rsidR="00933620" w:rsidRDefault="00933620" w:rsidP="000806C9">
            <w:pPr>
              <w:jc w:val="center"/>
              <w:rPr>
                <w:rFonts w:ascii="Arial" w:hAnsi="Arial" w:cs="Arial"/>
                <w:sz w:val="24"/>
                <w:szCs w:val="24"/>
              </w:rPr>
            </w:pPr>
            <w:r>
              <w:rPr>
                <w:rFonts w:ascii="Arial" w:hAnsi="Arial" w:cs="Arial"/>
                <w:sz w:val="24"/>
                <w:szCs w:val="24"/>
              </w:rPr>
              <w:t>5100</w:t>
            </w:r>
          </w:p>
        </w:tc>
      </w:tr>
      <w:tr w:rsidR="00933620" w:rsidTr="000806C9">
        <w:trPr>
          <w:trHeight w:val="167"/>
        </w:trPr>
        <w:tc>
          <w:tcPr>
            <w:tcW w:w="6660" w:type="dxa"/>
          </w:tcPr>
          <w:p w:rsidR="00933620" w:rsidRDefault="00933620" w:rsidP="000806C9">
            <w:pPr>
              <w:jc w:val="both"/>
              <w:rPr>
                <w:rFonts w:ascii="Arial" w:hAnsi="Arial" w:cs="Arial"/>
                <w:sz w:val="24"/>
                <w:szCs w:val="24"/>
              </w:rPr>
            </w:pPr>
            <w:r>
              <w:rPr>
                <w:rFonts w:ascii="Arial" w:hAnsi="Arial" w:cs="Arial"/>
                <w:sz w:val="24"/>
                <w:szCs w:val="24"/>
              </w:rPr>
              <w:t>Frais de personnel </w:t>
            </w:r>
          </w:p>
        </w:tc>
        <w:tc>
          <w:tcPr>
            <w:tcW w:w="2520" w:type="dxa"/>
          </w:tcPr>
          <w:p w:rsidR="00933620" w:rsidRDefault="00933620" w:rsidP="000806C9">
            <w:pPr>
              <w:jc w:val="center"/>
              <w:rPr>
                <w:rFonts w:ascii="Arial" w:hAnsi="Arial" w:cs="Arial"/>
                <w:sz w:val="24"/>
                <w:szCs w:val="24"/>
              </w:rPr>
            </w:pPr>
            <w:r>
              <w:rPr>
                <w:rFonts w:ascii="Arial" w:hAnsi="Arial" w:cs="Arial"/>
                <w:sz w:val="24"/>
                <w:szCs w:val="24"/>
              </w:rPr>
              <w:t>2600</w:t>
            </w:r>
          </w:p>
        </w:tc>
      </w:tr>
      <w:tr w:rsidR="00933620" w:rsidTr="000806C9">
        <w:trPr>
          <w:trHeight w:val="167"/>
        </w:trPr>
        <w:tc>
          <w:tcPr>
            <w:tcW w:w="6660" w:type="dxa"/>
            <w:tcBorders>
              <w:bottom w:val="single" w:sz="4" w:space="0" w:color="auto"/>
            </w:tcBorders>
          </w:tcPr>
          <w:p w:rsidR="00933620" w:rsidRDefault="00933620" w:rsidP="000806C9">
            <w:pPr>
              <w:jc w:val="both"/>
              <w:rPr>
                <w:rFonts w:ascii="Arial" w:hAnsi="Arial" w:cs="Arial"/>
                <w:sz w:val="24"/>
                <w:szCs w:val="24"/>
              </w:rPr>
            </w:pPr>
            <w:r>
              <w:rPr>
                <w:rFonts w:ascii="Arial" w:hAnsi="Arial" w:cs="Arial"/>
                <w:sz w:val="24"/>
                <w:szCs w:val="24"/>
              </w:rPr>
              <w:t>Autres charges</w:t>
            </w:r>
          </w:p>
        </w:tc>
        <w:tc>
          <w:tcPr>
            <w:tcW w:w="2520" w:type="dxa"/>
            <w:tcBorders>
              <w:bottom w:val="single" w:sz="4" w:space="0" w:color="auto"/>
            </w:tcBorders>
          </w:tcPr>
          <w:p w:rsidR="00933620" w:rsidRDefault="00933620" w:rsidP="000806C9">
            <w:pPr>
              <w:jc w:val="center"/>
              <w:rPr>
                <w:rFonts w:ascii="Arial" w:hAnsi="Arial" w:cs="Arial"/>
                <w:sz w:val="24"/>
                <w:szCs w:val="24"/>
              </w:rPr>
            </w:pPr>
            <w:r>
              <w:rPr>
                <w:rFonts w:ascii="Arial" w:hAnsi="Arial" w:cs="Arial"/>
                <w:sz w:val="24"/>
                <w:szCs w:val="24"/>
              </w:rPr>
              <w:t>1500</w:t>
            </w:r>
          </w:p>
        </w:tc>
      </w:tr>
      <w:tr w:rsidR="00933620" w:rsidTr="000806C9">
        <w:trPr>
          <w:trHeight w:val="167"/>
        </w:trPr>
        <w:tc>
          <w:tcPr>
            <w:tcW w:w="6660" w:type="dxa"/>
            <w:tcBorders>
              <w:top w:val="single" w:sz="4" w:space="0" w:color="auto"/>
              <w:left w:val="nil"/>
              <w:bottom w:val="single" w:sz="4" w:space="0" w:color="auto"/>
              <w:right w:val="nil"/>
            </w:tcBorders>
          </w:tcPr>
          <w:p w:rsidR="00933620" w:rsidRDefault="00933620" w:rsidP="000806C9">
            <w:pPr>
              <w:jc w:val="both"/>
              <w:rPr>
                <w:rFonts w:ascii="Arial" w:hAnsi="Arial" w:cs="Arial"/>
                <w:sz w:val="24"/>
                <w:szCs w:val="24"/>
              </w:rPr>
            </w:pPr>
          </w:p>
        </w:tc>
        <w:tc>
          <w:tcPr>
            <w:tcW w:w="2520" w:type="dxa"/>
            <w:tcBorders>
              <w:top w:val="single" w:sz="4" w:space="0" w:color="auto"/>
              <w:left w:val="nil"/>
              <w:bottom w:val="single" w:sz="4" w:space="0" w:color="auto"/>
              <w:right w:val="nil"/>
            </w:tcBorders>
          </w:tcPr>
          <w:p w:rsidR="00933620" w:rsidRDefault="00933620" w:rsidP="000806C9">
            <w:pPr>
              <w:jc w:val="center"/>
              <w:rPr>
                <w:rFonts w:ascii="Arial" w:hAnsi="Arial" w:cs="Arial"/>
                <w:sz w:val="24"/>
                <w:szCs w:val="24"/>
              </w:rPr>
            </w:pPr>
          </w:p>
        </w:tc>
      </w:tr>
      <w:tr w:rsidR="00933620" w:rsidTr="000806C9">
        <w:trPr>
          <w:trHeight w:val="167"/>
        </w:trPr>
        <w:tc>
          <w:tcPr>
            <w:tcW w:w="6660" w:type="dxa"/>
            <w:tcBorders>
              <w:top w:val="single" w:sz="4" w:space="0" w:color="auto"/>
              <w:bottom w:val="single" w:sz="4" w:space="0" w:color="auto"/>
            </w:tcBorders>
          </w:tcPr>
          <w:p w:rsidR="00933620" w:rsidRDefault="00933620" w:rsidP="000806C9">
            <w:pPr>
              <w:jc w:val="center"/>
              <w:rPr>
                <w:rFonts w:ascii="Arial" w:hAnsi="Arial" w:cs="Arial"/>
                <w:b/>
                <w:bCs/>
                <w:sz w:val="24"/>
                <w:szCs w:val="24"/>
              </w:rPr>
            </w:pPr>
            <w:r>
              <w:rPr>
                <w:rFonts w:ascii="Arial" w:hAnsi="Arial" w:cs="Arial"/>
                <w:b/>
                <w:bCs/>
                <w:sz w:val="24"/>
                <w:szCs w:val="24"/>
              </w:rPr>
              <w:t>Taux de marge sur coût variable</w:t>
            </w:r>
          </w:p>
        </w:tc>
        <w:tc>
          <w:tcPr>
            <w:tcW w:w="2520" w:type="dxa"/>
            <w:tcBorders>
              <w:top w:val="single" w:sz="4" w:space="0" w:color="auto"/>
              <w:bottom w:val="single" w:sz="4" w:space="0" w:color="auto"/>
            </w:tcBorders>
          </w:tcPr>
          <w:p w:rsidR="00933620" w:rsidRDefault="00933620" w:rsidP="000806C9">
            <w:pPr>
              <w:jc w:val="center"/>
              <w:rPr>
                <w:rFonts w:ascii="Arial" w:hAnsi="Arial" w:cs="Arial"/>
                <w:sz w:val="24"/>
                <w:szCs w:val="24"/>
              </w:rPr>
            </w:pPr>
            <w:r>
              <w:rPr>
                <w:rFonts w:ascii="Arial" w:hAnsi="Arial" w:cs="Arial"/>
                <w:sz w:val="24"/>
                <w:szCs w:val="24"/>
              </w:rPr>
              <w:t>10 %</w:t>
            </w:r>
          </w:p>
        </w:tc>
      </w:tr>
      <w:tr w:rsidR="00933620" w:rsidTr="000806C9">
        <w:trPr>
          <w:trHeight w:val="167"/>
        </w:trPr>
        <w:tc>
          <w:tcPr>
            <w:tcW w:w="6660" w:type="dxa"/>
            <w:tcBorders>
              <w:top w:val="single" w:sz="4" w:space="0" w:color="auto"/>
              <w:left w:val="nil"/>
              <w:bottom w:val="single" w:sz="4" w:space="0" w:color="auto"/>
              <w:right w:val="nil"/>
            </w:tcBorders>
          </w:tcPr>
          <w:p w:rsidR="00933620" w:rsidRDefault="00933620" w:rsidP="000806C9">
            <w:pPr>
              <w:jc w:val="both"/>
              <w:rPr>
                <w:rFonts w:ascii="Arial" w:hAnsi="Arial" w:cs="Arial"/>
                <w:sz w:val="24"/>
                <w:szCs w:val="24"/>
              </w:rPr>
            </w:pPr>
          </w:p>
        </w:tc>
        <w:tc>
          <w:tcPr>
            <w:tcW w:w="2520" w:type="dxa"/>
            <w:tcBorders>
              <w:top w:val="single" w:sz="4" w:space="0" w:color="auto"/>
              <w:left w:val="nil"/>
              <w:bottom w:val="single" w:sz="4" w:space="0" w:color="auto"/>
            </w:tcBorders>
          </w:tcPr>
          <w:p w:rsidR="00933620" w:rsidRDefault="00933620" w:rsidP="000806C9">
            <w:pPr>
              <w:jc w:val="center"/>
              <w:rPr>
                <w:rFonts w:ascii="Arial" w:hAnsi="Arial" w:cs="Arial"/>
                <w:sz w:val="24"/>
                <w:szCs w:val="24"/>
              </w:rPr>
            </w:pPr>
          </w:p>
        </w:tc>
      </w:tr>
      <w:tr w:rsidR="00933620" w:rsidTr="000806C9">
        <w:trPr>
          <w:trHeight w:val="167"/>
        </w:trPr>
        <w:tc>
          <w:tcPr>
            <w:tcW w:w="6660" w:type="dxa"/>
            <w:tcBorders>
              <w:top w:val="single" w:sz="4" w:space="0" w:color="auto"/>
            </w:tcBorders>
          </w:tcPr>
          <w:p w:rsidR="00933620" w:rsidRDefault="00933620" w:rsidP="000806C9">
            <w:pPr>
              <w:jc w:val="both"/>
              <w:rPr>
                <w:rFonts w:ascii="Arial" w:hAnsi="Arial" w:cs="Arial"/>
                <w:b/>
                <w:bCs/>
                <w:sz w:val="24"/>
                <w:szCs w:val="24"/>
              </w:rPr>
            </w:pPr>
            <w:r>
              <w:rPr>
                <w:rFonts w:ascii="Arial" w:hAnsi="Arial" w:cs="Arial"/>
                <w:b/>
                <w:bCs/>
                <w:sz w:val="24"/>
                <w:szCs w:val="24"/>
              </w:rPr>
              <w:t xml:space="preserve">Fourchette du CA TTC au m² par jour </w:t>
            </w:r>
          </w:p>
          <w:p w:rsidR="00933620" w:rsidRDefault="00933620" w:rsidP="000806C9">
            <w:pPr>
              <w:jc w:val="both"/>
              <w:rPr>
                <w:rFonts w:ascii="Arial" w:hAnsi="Arial" w:cs="Arial"/>
                <w:b/>
                <w:bCs/>
                <w:sz w:val="24"/>
                <w:szCs w:val="24"/>
              </w:rPr>
            </w:pPr>
            <w:r>
              <w:rPr>
                <w:rFonts w:ascii="Arial" w:hAnsi="Arial" w:cs="Arial"/>
                <w:b/>
                <w:bCs/>
                <w:sz w:val="24"/>
                <w:szCs w:val="24"/>
              </w:rPr>
              <w:t>(moyenne de la profession)</w:t>
            </w:r>
          </w:p>
        </w:tc>
        <w:tc>
          <w:tcPr>
            <w:tcW w:w="2520" w:type="dxa"/>
            <w:tcBorders>
              <w:top w:val="single" w:sz="4" w:space="0" w:color="auto"/>
            </w:tcBorders>
          </w:tcPr>
          <w:p w:rsidR="00933620" w:rsidRDefault="00933620" w:rsidP="000806C9">
            <w:pPr>
              <w:jc w:val="center"/>
              <w:rPr>
                <w:rFonts w:ascii="Arial" w:hAnsi="Arial" w:cs="Arial"/>
                <w:sz w:val="24"/>
                <w:szCs w:val="24"/>
              </w:rPr>
            </w:pPr>
            <w:r>
              <w:rPr>
                <w:rFonts w:ascii="Arial" w:hAnsi="Arial" w:cs="Arial"/>
                <w:sz w:val="24"/>
                <w:szCs w:val="24"/>
              </w:rPr>
              <w:t>60€ à 100€</w:t>
            </w:r>
          </w:p>
        </w:tc>
      </w:tr>
    </w:tbl>
    <w:p w:rsidR="00933620" w:rsidRDefault="00933620" w:rsidP="00933620">
      <w:pPr>
        <w:jc w:val="both"/>
        <w:rPr>
          <w:rFonts w:ascii="Arial" w:hAnsi="Arial" w:cs="Arial"/>
          <w:sz w:val="24"/>
          <w:szCs w:val="24"/>
        </w:rPr>
      </w:pPr>
    </w:p>
    <w:p w:rsidR="00933620" w:rsidRDefault="00933620" w:rsidP="00933620">
      <w:pPr>
        <w:jc w:val="both"/>
        <w:rPr>
          <w:rFonts w:ascii="Arial" w:hAnsi="Arial" w:cs="Arial"/>
          <w:sz w:val="24"/>
          <w:szCs w:val="24"/>
        </w:rPr>
      </w:pPr>
    </w:p>
    <w:p w:rsidR="00933620" w:rsidRDefault="00933620"/>
    <w:sectPr w:rsidR="0093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538"/>
    <w:multiLevelType w:val="hybridMultilevel"/>
    <w:tmpl w:val="F3C8E3F2"/>
    <w:lvl w:ilvl="0" w:tplc="D86649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C9D57FF"/>
    <w:multiLevelType w:val="hybridMultilevel"/>
    <w:tmpl w:val="EFB46088"/>
    <w:lvl w:ilvl="0" w:tplc="040C000B">
      <w:start w:val="1"/>
      <w:numFmt w:val="bullet"/>
      <w:lvlText w:val=""/>
      <w:lvlJc w:val="left"/>
      <w:pPr>
        <w:tabs>
          <w:tab w:val="num" w:pos="360"/>
        </w:tabs>
        <w:ind w:left="360" w:hanging="360"/>
      </w:pPr>
      <w:rPr>
        <w:rFonts w:ascii="Wingdings" w:hAnsi="Wingdings" w:hint="default"/>
      </w:rPr>
    </w:lvl>
    <w:lvl w:ilvl="1" w:tplc="D94E1A02">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20"/>
    <w:rsid w:val="00933620"/>
    <w:rsid w:val="00EA0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2014-07-20T08:13:00Z</dcterms:created>
  <dcterms:modified xsi:type="dcterms:W3CDTF">2014-07-20T08:18:00Z</dcterms:modified>
</cp:coreProperties>
</file>